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" w:type="dxa"/>
        <w:tblLayout w:type="fixed"/>
        <w:tblLook w:val="0000" w:firstRow="0" w:lastRow="0" w:firstColumn="0" w:lastColumn="0" w:noHBand="0" w:noVBand="0"/>
      </w:tblPr>
      <w:tblGrid>
        <w:gridCol w:w="4219"/>
        <w:gridCol w:w="1168"/>
        <w:gridCol w:w="4394"/>
      </w:tblGrid>
      <w:tr w:rsidR="00870CB5" w:rsidRPr="00457C3D" w:rsidTr="00904F6F">
        <w:tc>
          <w:tcPr>
            <w:tcW w:w="4219" w:type="dxa"/>
          </w:tcPr>
          <w:p w:rsidR="00870CB5" w:rsidRPr="00B72375" w:rsidRDefault="00870CB5" w:rsidP="00870CB5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68" w:type="dxa"/>
          </w:tcPr>
          <w:p w:rsidR="00870CB5" w:rsidRPr="00B72375" w:rsidRDefault="00870CB5" w:rsidP="00904F6F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394" w:type="dxa"/>
          </w:tcPr>
          <w:p w:rsidR="00870CB5" w:rsidRPr="00617AC1" w:rsidRDefault="00870CB5" w:rsidP="00904F6F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17AC1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870CB5" w:rsidRPr="00617AC1" w:rsidRDefault="00870CB5" w:rsidP="00904F6F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17AC1"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</w:p>
          <w:p w:rsidR="00870CB5" w:rsidRPr="00617AC1" w:rsidRDefault="00870CB5" w:rsidP="00904F6F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17AC1">
              <w:rPr>
                <w:rFonts w:ascii="Times New Roman" w:hAnsi="Times New Roman"/>
                <w:sz w:val="28"/>
                <w:szCs w:val="28"/>
              </w:rPr>
              <w:t>ПАО «НЕФАЗ»</w:t>
            </w:r>
          </w:p>
          <w:p w:rsidR="00870CB5" w:rsidRPr="00617AC1" w:rsidRDefault="00617AC1" w:rsidP="00904F6F">
            <w:pPr>
              <w:pStyle w:val="ae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proofErr w:type="spellStart"/>
            <w:r w:rsidR="00870CB5" w:rsidRPr="00617AC1">
              <w:rPr>
                <w:rFonts w:ascii="Times New Roman" w:hAnsi="Times New Roman"/>
                <w:sz w:val="28"/>
                <w:szCs w:val="28"/>
              </w:rPr>
              <w:t>В.А.Курганов</w:t>
            </w:r>
            <w:proofErr w:type="spellEnd"/>
          </w:p>
        </w:tc>
      </w:tr>
    </w:tbl>
    <w:p w:rsidR="00870CB5" w:rsidRDefault="00870CB5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17AC1" w:rsidRDefault="00617AC1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17AC1" w:rsidRDefault="00617AC1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71398" w:rsidRDefault="00071398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Техническое задание</w:t>
      </w:r>
    </w:p>
    <w:p w:rsidR="00CB7999" w:rsidRDefault="0085275A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052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на </w:t>
      </w:r>
      <w:r w:rsidR="00AC59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разработку и согласование </w:t>
      </w:r>
      <w:r w:rsidR="00AC59C5" w:rsidRPr="00CB79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</w:t>
      </w:r>
      <w:r w:rsidR="005348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</w:t>
      </w:r>
      <w:r w:rsidR="00AC59C5" w:rsidRPr="00CB79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предупреждения и ликвидации </w:t>
      </w:r>
    </w:p>
    <w:p w:rsidR="0016199D" w:rsidRDefault="00CB7999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B79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разливов </w:t>
      </w:r>
      <w:r w:rsidR="00AC59C5" w:rsidRPr="00CB79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нефти и нефтепродуктов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ПАО «НЕФАЗ»</w:t>
      </w:r>
      <w:r w:rsidR="00AC59C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27B09" w:rsidRPr="003176F5" w:rsidRDefault="00427B09" w:rsidP="00691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083" w:rsidRPr="00F22BFA" w:rsidRDefault="00C52083" w:rsidP="0069156F">
      <w:pPr>
        <w:pStyle w:val="a7"/>
        <w:numPr>
          <w:ilvl w:val="0"/>
          <w:numId w:val="2"/>
        </w:numPr>
        <w:tabs>
          <w:tab w:val="left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A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8A4C4B" w:rsidRPr="00F22BF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A4C4B" w:rsidRPr="00F22BFA">
        <w:rPr>
          <w:rFonts w:ascii="Times New Roman" w:hAnsi="Times New Roman" w:cs="Times New Roman"/>
          <w:sz w:val="24"/>
          <w:szCs w:val="24"/>
        </w:rPr>
        <w:t>ПАО «НЕФАЗ»</w:t>
      </w:r>
    </w:p>
    <w:p w:rsidR="00C52083" w:rsidRPr="00F22BFA" w:rsidRDefault="00C52083" w:rsidP="00C75BED">
      <w:pPr>
        <w:pStyle w:val="a7"/>
        <w:numPr>
          <w:ilvl w:val="0"/>
          <w:numId w:val="2"/>
        </w:numPr>
        <w:tabs>
          <w:tab w:val="left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2BFA">
        <w:rPr>
          <w:rFonts w:ascii="Times New Roman" w:hAnsi="Times New Roman" w:cs="Times New Roman"/>
          <w:b/>
          <w:sz w:val="24"/>
          <w:szCs w:val="24"/>
        </w:rPr>
        <w:t>Местоположение объекта:</w:t>
      </w:r>
      <w:r w:rsidR="008A4C4B" w:rsidRPr="00F22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C4B" w:rsidRPr="00F22BFA">
        <w:rPr>
          <w:rFonts w:ascii="Times New Roman" w:hAnsi="Times New Roman" w:cs="Times New Roman"/>
          <w:sz w:val="24"/>
          <w:szCs w:val="24"/>
        </w:rPr>
        <w:t xml:space="preserve">Республика Башкортостан, </w:t>
      </w:r>
      <w:proofErr w:type="spellStart"/>
      <w:r w:rsidR="008A4C4B" w:rsidRPr="00F22BFA">
        <w:rPr>
          <w:rFonts w:ascii="Times New Roman" w:hAnsi="Times New Roman" w:cs="Times New Roman"/>
          <w:sz w:val="24"/>
          <w:szCs w:val="24"/>
        </w:rPr>
        <w:t>г.Нефтекамск</w:t>
      </w:r>
      <w:proofErr w:type="spellEnd"/>
      <w:r w:rsidR="008A4C4B" w:rsidRPr="00F22B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4C4B" w:rsidRPr="00F22BFA">
        <w:rPr>
          <w:rFonts w:ascii="Times New Roman" w:hAnsi="Times New Roman" w:cs="Times New Roman"/>
          <w:sz w:val="24"/>
          <w:szCs w:val="24"/>
        </w:rPr>
        <w:t>ул.Янаульская</w:t>
      </w:r>
      <w:proofErr w:type="spellEnd"/>
      <w:r w:rsidR="008A4C4B" w:rsidRPr="00F22BFA">
        <w:rPr>
          <w:rFonts w:ascii="Times New Roman" w:hAnsi="Times New Roman" w:cs="Times New Roman"/>
          <w:sz w:val="24"/>
          <w:szCs w:val="24"/>
        </w:rPr>
        <w:t>, 3</w:t>
      </w:r>
    </w:p>
    <w:p w:rsidR="00A1195F" w:rsidRPr="0069156F" w:rsidRDefault="00200C60" w:rsidP="0069156F">
      <w:pPr>
        <w:pStyle w:val="a7"/>
        <w:numPr>
          <w:ilvl w:val="0"/>
          <w:numId w:val="2"/>
        </w:numPr>
        <w:tabs>
          <w:tab w:val="left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759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200C60" w:rsidRPr="00B24759" w:rsidRDefault="00200C60" w:rsidP="0069156F">
      <w:pPr>
        <w:pStyle w:val="a7"/>
        <w:numPr>
          <w:ilvl w:val="1"/>
          <w:numId w:val="2"/>
        </w:numPr>
        <w:tabs>
          <w:tab w:val="left" w:pos="426"/>
          <w:tab w:val="left" w:pos="709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759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200C60" w:rsidRPr="00E76E96" w:rsidRDefault="0069156F" w:rsidP="0053487B">
      <w:pPr>
        <w:pStyle w:val="a7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195F" w:rsidRPr="00E76E96">
        <w:rPr>
          <w:rFonts w:ascii="Times New Roman" w:hAnsi="Times New Roman" w:cs="Times New Roman"/>
          <w:sz w:val="24"/>
          <w:szCs w:val="24"/>
        </w:rPr>
        <w:t>.</w:t>
      </w:r>
      <w:r w:rsidR="00DD0C36">
        <w:rPr>
          <w:rFonts w:ascii="Times New Roman" w:hAnsi="Times New Roman" w:cs="Times New Roman"/>
          <w:sz w:val="24"/>
          <w:szCs w:val="24"/>
        </w:rPr>
        <w:t>1</w:t>
      </w:r>
      <w:r w:rsidR="00A1195F" w:rsidRPr="00E76E96">
        <w:rPr>
          <w:rFonts w:ascii="Times New Roman" w:hAnsi="Times New Roman" w:cs="Times New Roman"/>
          <w:sz w:val="24"/>
          <w:szCs w:val="24"/>
        </w:rPr>
        <w:t>.1</w:t>
      </w:r>
      <w:r w:rsidR="00A1195F" w:rsidRPr="00E76E96">
        <w:rPr>
          <w:rFonts w:ascii="Times New Roman" w:hAnsi="Times New Roman" w:cs="Times New Roman"/>
          <w:sz w:val="24"/>
          <w:szCs w:val="24"/>
        </w:rPr>
        <w:tab/>
      </w:r>
      <w:r w:rsidR="00200C60" w:rsidRPr="00E76E96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 w:rsidR="00EF2A02">
        <w:rPr>
          <w:rFonts w:ascii="Times New Roman" w:hAnsi="Times New Roman" w:cs="Times New Roman"/>
          <w:sz w:val="24"/>
          <w:szCs w:val="24"/>
        </w:rPr>
        <w:t>феврал</w:t>
      </w:r>
      <w:r w:rsidR="00311837" w:rsidRPr="00E76E96">
        <w:rPr>
          <w:rFonts w:ascii="Times New Roman" w:hAnsi="Times New Roman" w:cs="Times New Roman"/>
          <w:sz w:val="24"/>
          <w:szCs w:val="24"/>
        </w:rPr>
        <w:t>ь</w:t>
      </w:r>
      <w:r w:rsidR="00C40C24" w:rsidRPr="00E76E96">
        <w:rPr>
          <w:rFonts w:ascii="Times New Roman" w:hAnsi="Times New Roman" w:cs="Times New Roman"/>
          <w:sz w:val="24"/>
          <w:szCs w:val="24"/>
        </w:rPr>
        <w:t xml:space="preserve"> </w:t>
      </w:r>
      <w:r w:rsidR="00A76813" w:rsidRPr="00E76E96">
        <w:rPr>
          <w:rFonts w:ascii="Times New Roman" w:hAnsi="Times New Roman" w:cs="Times New Roman"/>
          <w:sz w:val="24"/>
          <w:szCs w:val="24"/>
        </w:rPr>
        <w:t xml:space="preserve"> </w:t>
      </w:r>
      <w:r w:rsidR="00200C60" w:rsidRPr="00E76E96">
        <w:rPr>
          <w:rFonts w:ascii="Times New Roman" w:hAnsi="Times New Roman" w:cs="Times New Roman"/>
          <w:sz w:val="24"/>
          <w:szCs w:val="24"/>
        </w:rPr>
        <w:t xml:space="preserve"> 20</w:t>
      </w:r>
      <w:r w:rsidR="00311837" w:rsidRPr="00E76E96">
        <w:rPr>
          <w:rFonts w:ascii="Times New Roman" w:hAnsi="Times New Roman" w:cs="Times New Roman"/>
          <w:sz w:val="24"/>
          <w:szCs w:val="24"/>
        </w:rPr>
        <w:t>2</w:t>
      </w:r>
      <w:r w:rsidR="00EF2A02">
        <w:rPr>
          <w:rFonts w:ascii="Times New Roman" w:hAnsi="Times New Roman" w:cs="Times New Roman"/>
          <w:sz w:val="24"/>
          <w:szCs w:val="24"/>
        </w:rPr>
        <w:t>3</w:t>
      </w:r>
      <w:r w:rsidR="00200C60" w:rsidRPr="00E76E96">
        <w:rPr>
          <w:rFonts w:ascii="Times New Roman" w:hAnsi="Times New Roman" w:cs="Times New Roman"/>
          <w:sz w:val="24"/>
          <w:szCs w:val="24"/>
        </w:rPr>
        <w:t xml:space="preserve"> г.</w:t>
      </w:r>
      <w:r w:rsidR="004B7EE5" w:rsidRPr="00E76E96">
        <w:rPr>
          <w:rFonts w:ascii="Times New Roman" w:hAnsi="Times New Roman" w:cs="Times New Roman"/>
          <w:sz w:val="24"/>
          <w:szCs w:val="24"/>
        </w:rPr>
        <w:t>;</w:t>
      </w:r>
    </w:p>
    <w:p w:rsidR="00200C60" w:rsidRPr="00E76E96" w:rsidRDefault="0069156F" w:rsidP="0053487B">
      <w:pPr>
        <w:pStyle w:val="a7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195F" w:rsidRPr="00E76E96">
        <w:rPr>
          <w:rFonts w:ascii="Times New Roman" w:hAnsi="Times New Roman" w:cs="Times New Roman"/>
          <w:sz w:val="24"/>
          <w:szCs w:val="24"/>
        </w:rPr>
        <w:t>.</w:t>
      </w:r>
      <w:r w:rsidR="00DD0C36">
        <w:rPr>
          <w:rFonts w:ascii="Times New Roman" w:hAnsi="Times New Roman" w:cs="Times New Roman"/>
          <w:sz w:val="24"/>
          <w:szCs w:val="24"/>
        </w:rPr>
        <w:t>1</w:t>
      </w:r>
      <w:r w:rsidR="00A1195F" w:rsidRPr="00E76E96">
        <w:rPr>
          <w:rFonts w:ascii="Times New Roman" w:hAnsi="Times New Roman" w:cs="Times New Roman"/>
          <w:sz w:val="24"/>
          <w:szCs w:val="24"/>
        </w:rPr>
        <w:t>.2</w:t>
      </w:r>
      <w:r w:rsidR="00A1195F" w:rsidRPr="00E76E96">
        <w:rPr>
          <w:rFonts w:ascii="Times New Roman" w:hAnsi="Times New Roman" w:cs="Times New Roman"/>
          <w:sz w:val="24"/>
          <w:szCs w:val="24"/>
        </w:rPr>
        <w:tab/>
      </w:r>
      <w:r w:rsidR="00200C60" w:rsidRPr="00E76E96">
        <w:rPr>
          <w:rFonts w:ascii="Times New Roman" w:hAnsi="Times New Roman" w:cs="Times New Roman"/>
          <w:sz w:val="24"/>
          <w:szCs w:val="24"/>
        </w:rPr>
        <w:t xml:space="preserve">Окончание выполнения работ – </w:t>
      </w:r>
      <w:r w:rsidR="00EF2A02">
        <w:rPr>
          <w:rFonts w:ascii="Times New Roman" w:hAnsi="Times New Roman" w:cs="Times New Roman"/>
          <w:sz w:val="24"/>
          <w:szCs w:val="24"/>
        </w:rPr>
        <w:t>май</w:t>
      </w:r>
      <w:r w:rsidR="0016199D" w:rsidRPr="00E76E96">
        <w:rPr>
          <w:rFonts w:ascii="Times New Roman" w:hAnsi="Times New Roman" w:cs="Times New Roman"/>
          <w:sz w:val="24"/>
          <w:szCs w:val="24"/>
        </w:rPr>
        <w:t xml:space="preserve"> </w:t>
      </w:r>
      <w:r w:rsidR="00427B09" w:rsidRPr="00E76E96">
        <w:rPr>
          <w:rFonts w:ascii="Times New Roman" w:hAnsi="Times New Roman" w:cs="Times New Roman"/>
          <w:sz w:val="24"/>
          <w:szCs w:val="24"/>
        </w:rPr>
        <w:t>20</w:t>
      </w:r>
      <w:r w:rsidR="00311837" w:rsidRPr="00E76E96">
        <w:rPr>
          <w:rFonts w:ascii="Times New Roman" w:hAnsi="Times New Roman" w:cs="Times New Roman"/>
          <w:sz w:val="24"/>
          <w:szCs w:val="24"/>
        </w:rPr>
        <w:t>2</w:t>
      </w:r>
      <w:r w:rsidR="00EF2A02">
        <w:rPr>
          <w:rFonts w:ascii="Times New Roman" w:hAnsi="Times New Roman" w:cs="Times New Roman"/>
          <w:sz w:val="24"/>
          <w:szCs w:val="24"/>
        </w:rPr>
        <w:t>3</w:t>
      </w:r>
      <w:r w:rsidR="00427B09" w:rsidRPr="00E76E96">
        <w:rPr>
          <w:rFonts w:ascii="Times New Roman" w:hAnsi="Times New Roman" w:cs="Times New Roman"/>
          <w:sz w:val="24"/>
          <w:szCs w:val="24"/>
        </w:rPr>
        <w:t>г</w:t>
      </w:r>
      <w:r w:rsidR="0024427C" w:rsidRPr="00E76E96">
        <w:rPr>
          <w:rFonts w:ascii="Times New Roman" w:hAnsi="Times New Roman" w:cs="Times New Roman"/>
          <w:sz w:val="24"/>
          <w:szCs w:val="24"/>
        </w:rPr>
        <w:t>.</w:t>
      </w:r>
    </w:p>
    <w:p w:rsidR="002815A9" w:rsidRPr="00B24759" w:rsidRDefault="0069156F" w:rsidP="0069156F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00C60" w:rsidRPr="00B24759">
        <w:rPr>
          <w:rFonts w:ascii="Times New Roman" w:hAnsi="Times New Roman" w:cs="Times New Roman"/>
          <w:b/>
          <w:sz w:val="24"/>
          <w:szCs w:val="24"/>
        </w:rPr>
        <w:t>.</w:t>
      </w:r>
      <w:r w:rsidR="00DD0C36">
        <w:rPr>
          <w:rFonts w:ascii="Times New Roman" w:hAnsi="Times New Roman" w:cs="Times New Roman"/>
          <w:b/>
          <w:sz w:val="24"/>
          <w:szCs w:val="24"/>
        </w:rPr>
        <w:t>2</w:t>
      </w:r>
      <w:r w:rsidR="00994493" w:rsidRPr="00B24759">
        <w:rPr>
          <w:rFonts w:ascii="Times New Roman" w:hAnsi="Times New Roman" w:cs="Times New Roman"/>
          <w:sz w:val="24"/>
          <w:szCs w:val="24"/>
        </w:rPr>
        <w:tab/>
      </w:r>
      <w:r w:rsidR="00200C60" w:rsidRPr="00B24759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</w:p>
    <w:p w:rsidR="0085174D" w:rsidRDefault="008A4C4B" w:rsidP="0069156F">
      <w:pPr>
        <w:pStyle w:val="a7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5174D" w:rsidRPr="00B24759">
        <w:rPr>
          <w:rFonts w:ascii="Times New Roman" w:hAnsi="Times New Roman" w:cs="Times New Roman"/>
          <w:sz w:val="24"/>
          <w:szCs w:val="24"/>
        </w:rPr>
        <w:t>.</w:t>
      </w:r>
      <w:r w:rsidR="00DD0C36">
        <w:rPr>
          <w:rFonts w:ascii="Times New Roman" w:hAnsi="Times New Roman" w:cs="Times New Roman"/>
          <w:sz w:val="24"/>
          <w:szCs w:val="24"/>
        </w:rPr>
        <w:t>2</w:t>
      </w:r>
      <w:r w:rsidR="0085174D" w:rsidRPr="00B24759">
        <w:rPr>
          <w:rFonts w:ascii="Times New Roman" w:hAnsi="Times New Roman" w:cs="Times New Roman"/>
          <w:sz w:val="24"/>
          <w:szCs w:val="24"/>
        </w:rPr>
        <w:t>.</w:t>
      </w:r>
      <w:r w:rsidR="00DD0C36">
        <w:rPr>
          <w:rFonts w:ascii="Times New Roman" w:hAnsi="Times New Roman" w:cs="Times New Roman"/>
          <w:sz w:val="24"/>
          <w:szCs w:val="24"/>
        </w:rPr>
        <w:t>1</w:t>
      </w:r>
      <w:r w:rsidR="0085174D" w:rsidRPr="00B24759">
        <w:rPr>
          <w:rFonts w:ascii="Times New Roman" w:hAnsi="Times New Roman" w:cs="Times New Roman"/>
          <w:sz w:val="24"/>
          <w:szCs w:val="24"/>
        </w:rPr>
        <w:tab/>
        <w:t xml:space="preserve">Оплата работ по </w:t>
      </w:r>
      <w:r w:rsidR="00EF2A02">
        <w:rPr>
          <w:rFonts w:ascii="Times New Roman" w:eastAsia="Times New Roman" w:hAnsi="Times New Roman" w:cs="Times New Roman"/>
          <w:sz w:val="24"/>
          <w:szCs w:val="24"/>
        </w:rPr>
        <w:t xml:space="preserve">разработке и согласованию Плана ЛРН </w:t>
      </w:r>
      <w:r w:rsidR="00DD0C36">
        <w:rPr>
          <w:rFonts w:ascii="Times New Roman" w:eastAsia="Times New Roman" w:hAnsi="Times New Roman" w:cs="Times New Roman"/>
          <w:sz w:val="24"/>
          <w:szCs w:val="24"/>
        </w:rPr>
        <w:t>ПАО «</w:t>
      </w:r>
      <w:proofErr w:type="gramStart"/>
      <w:r w:rsidR="00DD0C36">
        <w:rPr>
          <w:rFonts w:ascii="Times New Roman" w:eastAsia="Times New Roman" w:hAnsi="Times New Roman" w:cs="Times New Roman"/>
          <w:sz w:val="24"/>
          <w:szCs w:val="24"/>
        </w:rPr>
        <w:t>НЕФАЗ»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D0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799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16AD" w:rsidRPr="00B24759">
        <w:rPr>
          <w:rFonts w:ascii="Times New Roman" w:hAnsi="Times New Roman" w:cs="Times New Roman"/>
          <w:sz w:val="24"/>
          <w:szCs w:val="24"/>
        </w:rPr>
        <w:t xml:space="preserve">производится путем перечисления денежных средств на расчетный счет Исполнителя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B16AD" w:rsidRPr="00B2475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F2A02">
        <w:rPr>
          <w:rFonts w:ascii="Times New Roman" w:hAnsi="Times New Roman" w:cs="Times New Roman"/>
          <w:sz w:val="24"/>
          <w:szCs w:val="24"/>
        </w:rPr>
        <w:t>3</w:t>
      </w:r>
      <w:r w:rsidR="004B16AD" w:rsidRPr="00B24759">
        <w:rPr>
          <w:rFonts w:ascii="Times New Roman" w:hAnsi="Times New Roman" w:cs="Times New Roman"/>
          <w:sz w:val="24"/>
          <w:szCs w:val="24"/>
        </w:rPr>
        <w:t>0 дней со дня подписания сторонами акта сдачи-приемки выполненных работ.</w:t>
      </w:r>
      <w:r w:rsidR="00874421">
        <w:rPr>
          <w:rFonts w:ascii="Times New Roman" w:hAnsi="Times New Roman" w:cs="Times New Roman"/>
          <w:sz w:val="24"/>
          <w:szCs w:val="24"/>
        </w:rPr>
        <w:t xml:space="preserve"> </w:t>
      </w:r>
      <w:r w:rsidR="00874421" w:rsidRPr="00874421">
        <w:rPr>
          <w:rFonts w:ascii="Times New Roman" w:hAnsi="Times New Roman" w:cs="Times New Roman"/>
          <w:sz w:val="24"/>
          <w:szCs w:val="24"/>
        </w:rPr>
        <w:t>Стоимость Услуг включает в себя сумму расходов Исполнителя, связанных с</w:t>
      </w:r>
      <w:r w:rsidR="00874421">
        <w:rPr>
          <w:rFonts w:ascii="Times New Roman" w:hAnsi="Times New Roman" w:cs="Times New Roman"/>
          <w:sz w:val="24"/>
          <w:szCs w:val="24"/>
        </w:rPr>
        <w:t xml:space="preserve"> </w:t>
      </w:r>
      <w:r w:rsidR="00874421" w:rsidRPr="00874421">
        <w:rPr>
          <w:rFonts w:ascii="Times New Roman" w:hAnsi="Times New Roman" w:cs="Times New Roman"/>
          <w:sz w:val="24"/>
          <w:szCs w:val="24"/>
        </w:rPr>
        <w:t>оказанием Услуг.</w:t>
      </w:r>
    </w:p>
    <w:p w:rsidR="008A4A45" w:rsidRPr="00B24759" w:rsidRDefault="0069156F" w:rsidP="008A4C4B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1195F" w:rsidRPr="00B24759">
        <w:rPr>
          <w:rFonts w:ascii="Times New Roman" w:hAnsi="Times New Roman" w:cs="Times New Roman"/>
          <w:b/>
          <w:sz w:val="24"/>
          <w:szCs w:val="24"/>
        </w:rPr>
        <w:t>.</w:t>
      </w:r>
      <w:r w:rsidR="00DD0C36">
        <w:rPr>
          <w:rFonts w:ascii="Times New Roman" w:hAnsi="Times New Roman" w:cs="Times New Roman"/>
          <w:b/>
          <w:sz w:val="24"/>
          <w:szCs w:val="24"/>
        </w:rPr>
        <w:t>3</w:t>
      </w:r>
      <w:r w:rsidR="00A1195F" w:rsidRPr="00B24759">
        <w:rPr>
          <w:rFonts w:ascii="Times New Roman" w:hAnsi="Times New Roman" w:cs="Times New Roman"/>
          <w:b/>
          <w:sz w:val="24"/>
          <w:szCs w:val="24"/>
        </w:rPr>
        <w:tab/>
      </w:r>
      <w:r w:rsidR="004070BF" w:rsidRPr="00B24759">
        <w:rPr>
          <w:rFonts w:ascii="Times New Roman" w:hAnsi="Times New Roman" w:cs="Times New Roman"/>
          <w:b/>
          <w:sz w:val="24"/>
          <w:szCs w:val="24"/>
        </w:rPr>
        <w:t xml:space="preserve">Требования к организации работ: </w:t>
      </w:r>
    </w:p>
    <w:p w:rsidR="00C52083" w:rsidRDefault="00DD0C36" w:rsidP="0053487B">
      <w:pPr>
        <w:pStyle w:val="a7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195F" w:rsidRPr="00B24759">
        <w:rPr>
          <w:rFonts w:ascii="Times New Roman" w:hAnsi="Times New Roman" w:cs="Times New Roman"/>
          <w:sz w:val="24"/>
          <w:szCs w:val="24"/>
        </w:rPr>
        <w:t>.</w:t>
      </w:r>
      <w:r w:rsidR="008A4C4B">
        <w:rPr>
          <w:rFonts w:ascii="Times New Roman" w:hAnsi="Times New Roman" w:cs="Times New Roman"/>
          <w:sz w:val="24"/>
          <w:szCs w:val="24"/>
        </w:rPr>
        <w:t>3.</w:t>
      </w:r>
      <w:r w:rsidR="00A1195F" w:rsidRPr="00B24759">
        <w:rPr>
          <w:rFonts w:ascii="Times New Roman" w:hAnsi="Times New Roman" w:cs="Times New Roman"/>
          <w:sz w:val="24"/>
          <w:szCs w:val="24"/>
        </w:rPr>
        <w:t>1</w:t>
      </w:r>
      <w:r w:rsidR="00A1195F" w:rsidRPr="00B24759">
        <w:rPr>
          <w:rFonts w:ascii="Times New Roman" w:hAnsi="Times New Roman" w:cs="Times New Roman"/>
          <w:sz w:val="24"/>
          <w:szCs w:val="24"/>
        </w:rPr>
        <w:tab/>
      </w:r>
      <w:r w:rsidR="002B0472" w:rsidRPr="00B24759">
        <w:rPr>
          <w:rFonts w:ascii="Times New Roman" w:hAnsi="Times New Roman" w:cs="Times New Roman"/>
          <w:sz w:val="24"/>
          <w:szCs w:val="24"/>
        </w:rPr>
        <w:t>Исполнитель</w:t>
      </w:r>
      <w:r w:rsidR="000033D3" w:rsidRPr="00B24759">
        <w:rPr>
          <w:rFonts w:ascii="Times New Roman" w:hAnsi="Times New Roman" w:cs="Times New Roman"/>
          <w:sz w:val="24"/>
          <w:szCs w:val="24"/>
        </w:rPr>
        <w:t xml:space="preserve"> берет на себя обязательства по </w:t>
      </w:r>
      <w:r w:rsidR="00EF2A02">
        <w:rPr>
          <w:rFonts w:ascii="Times New Roman" w:hAnsi="Times New Roman" w:cs="Times New Roman"/>
          <w:sz w:val="24"/>
          <w:szCs w:val="24"/>
        </w:rPr>
        <w:t xml:space="preserve">разработке и согласованию Плана ЛРН </w:t>
      </w:r>
      <w:r w:rsidR="008731CF" w:rsidRPr="00B24759">
        <w:rPr>
          <w:rFonts w:ascii="Times New Roman" w:eastAsia="Times New Roman" w:hAnsi="Times New Roman" w:cs="Times New Roman"/>
          <w:sz w:val="24"/>
          <w:szCs w:val="24"/>
        </w:rPr>
        <w:t>ПАО «НЕФАЗ</w:t>
      </w:r>
      <w:r>
        <w:rPr>
          <w:rFonts w:ascii="Times New Roman" w:eastAsia="Times New Roman" w:hAnsi="Times New Roman" w:cs="Times New Roman"/>
          <w:sz w:val="24"/>
          <w:szCs w:val="24"/>
        </w:rPr>
        <w:t>» в надзорных органах согласно требованиям</w:t>
      </w:r>
      <w:r w:rsidR="00CB7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действующих </w:t>
      </w:r>
      <w:r w:rsidR="00CB7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3487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правовых актов</w:t>
      </w:r>
      <w:r w:rsidR="006915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52083" w:rsidRPr="005F01FF" w:rsidRDefault="0069156F" w:rsidP="0053487B">
      <w:pPr>
        <w:pStyle w:val="a7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F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8A4C4B" w:rsidRPr="005F01FF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234BE" w:rsidRPr="005F01F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87B" w:rsidRPr="005F01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52083" w:rsidRPr="005F01FF">
        <w:rPr>
          <w:rFonts w:ascii="Times New Roman" w:eastAsia="Times New Roman" w:hAnsi="Times New Roman" w:cs="Times New Roman"/>
          <w:sz w:val="24"/>
          <w:szCs w:val="24"/>
        </w:rPr>
        <w:t>Согласование:</w:t>
      </w:r>
    </w:p>
    <w:p w:rsidR="00C52083" w:rsidRPr="005F01FF" w:rsidRDefault="00C52083" w:rsidP="0069156F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FF">
        <w:rPr>
          <w:rFonts w:ascii="Times New Roman" w:eastAsia="Times New Roman" w:hAnsi="Times New Roman" w:cs="Times New Roman"/>
          <w:sz w:val="24"/>
          <w:szCs w:val="24"/>
        </w:rPr>
        <w:t>-</w:t>
      </w:r>
      <w:r w:rsidR="00F22BFA" w:rsidRPr="005F01FF">
        <w:rPr>
          <w:rFonts w:ascii="Times New Roman" w:eastAsia="Times New Roman" w:hAnsi="Times New Roman" w:cs="Times New Roman"/>
          <w:sz w:val="24"/>
          <w:szCs w:val="24"/>
        </w:rPr>
        <w:t>Федеральная служба по надзору в сфере природопользования;</w:t>
      </w:r>
    </w:p>
    <w:p w:rsidR="00C52083" w:rsidRPr="005F01FF" w:rsidRDefault="00C52083" w:rsidP="004234BE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FF">
        <w:rPr>
          <w:rFonts w:ascii="Times New Roman" w:eastAsia="Times New Roman" w:hAnsi="Times New Roman" w:cs="Times New Roman"/>
          <w:sz w:val="24"/>
          <w:szCs w:val="24"/>
        </w:rPr>
        <w:t>- Региональный центр МЧС</w:t>
      </w:r>
    </w:p>
    <w:p w:rsidR="004234BE" w:rsidRDefault="004234BE" w:rsidP="0053487B">
      <w:pPr>
        <w:pStyle w:val="a7"/>
        <w:tabs>
          <w:tab w:val="left" w:pos="284"/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1FF">
        <w:rPr>
          <w:rFonts w:ascii="Times New Roman" w:eastAsia="Times New Roman" w:hAnsi="Times New Roman" w:cs="Times New Roman"/>
          <w:sz w:val="24"/>
          <w:szCs w:val="24"/>
        </w:rPr>
        <w:t>3.3.</w:t>
      </w:r>
      <w:r w:rsidR="008A4C4B" w:rsidRPr="005F01F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487B" w:rsidRPr="005F01F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F01FF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>обязан оперативно проводить доработку Плана ЛРН и устранять</w:t>
      </w:r>
      <w:r w:rsidR="0053487B" w:rsidRPr="005F01F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 xml:space="preserve"> замечания, полученные в процессе согласования</w:t>
      </w:r>
      <w:r w:rsidR="008A4C4B" w:rsidRPr="005F01F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4C4B" w:rsidRPr="005F01FF">
        <w:rPr>
          <w:rFonts w:ascii="Times New Roman" w:eastAsia="Times New Roman" w:hAnsi="Times New Roman" w:cs="Times New Roman"/>
          <w:sz w:val="24"/>
          <w:szCs w:val="24"/>
        </w:rPr>
        <w:t xml:space="preserve">утверждения 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>Плана ЛРН с органами</w:t>
      </w:r>
      <w:r w:rsidR="0053487B" w:rsidRPr="005F01F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F01FF">
        <w:rPr>
          <w:rFonts w:ascii="Times New Roman" w:eastAsia="Times New Roman" w:hAnsi="Times New Roman" w:cs="Times New Roman"/>
          <w:sz w:val="24"/>
          <w:szCs w:val="24"/>
        </w:rPr>
        <w:t xml:space="preserve"> исполнительной власти</w:t>
      </w:r>
    </w:p>
    <w:p w:rsidR="00C52083" w:rsidRPr="00F22BFA" w:rsidRDefault="0069156F" w:rsidP="00713A7E">
      <w:pPr>
        <w:tabs>
          <w:tab w:val="left" w:pos="426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FA">
        <w:rPr>
          <w:rFonts w:ascii="Times New Roman" w:hAnsi="Times New Roman" w:cs="Times New Roman"/>
          <w:b/>
          <w:sz w:val="24"/>
          <w:szCs w:val="24"/>
        </w:rPr>
        <w:t>4</w:t>
      </w:r>
      <w:r w:rsidR="00C52083" w:rsidRPr="00F22B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3A7E" w:rsidRPr="00F22BF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52083" w:rsidRPr="00F22BFA">
        <w:rPr>
          <w:rFonts w:ascii="Times New Roman" w:hAnsi="Times New Roman" w:cs="Times New Roman"/>
          <w:b/>
          <w:sz w:val="24"/>
          <w:szCs w:val="24"/>
        </w:rPr>
        <w:t xml:space="preserve">Нормативные документы, в соответствии с которыми разрабатывается </w:t>
      </w:r>
      <w:r w:rsidR="0053487B" w:rsidRPr="00F22BFA">
        <w:rPr>
          <w:rFonts w:ascii="Times New Roman" w:hAnsi="Times New Roman" w:cs="Times New Roman"/>
          <w:b/>
          <w:sz w:val="24"/>
          <w:szCs w:val="24"/>
        </w:rPr>
        <w:t>П</w:t>
      </w:r>
      <w:r w:rsidR="00C52083" w:rsidRPr="00F22BFA">
        <w:rPr>
          <w:rFonts w:ascii="Times New Roman" w:hAnsi="Times New Roman" w:cs="Times New Roman"/>
          <w:b/>
          <w:sz w:val="24"/>
          <w:szCs w:val="24"/>
        </w:rPr>
        <w:t xml:space="preserve">лан: </w:t>
      </w:r>
    </w:p>
    <w:p w:rsidR="00C52083" w:rsidRPr="00F22BFA" w:rsidRDefault="00C52083" w:rsidP="0069156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BFA">
        <w:rPr>
          <w:rFonts w:ascii="Times New Roman" w:hAnsi="Times New Roman" w:cs="Times New Roman"/>
          <w:sz w:val="24"/>
          <w:szCs w:val="24"/>
        </w:rPr>
        <w:t>- Постановление Правительства РФ от 31.12.2020г. №2451 «Об утверждении Правил</w:t>
      </w:r>
      <w:r w:rsidR="00DA074F" w:rsidRPr="00F22BF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22BFA">
        <w:rPr>
          <w:rFonts w:ascii="Times New Roman" w:hAnsi="Times New Roman" w:cs="Times New Roman"/>
          <w:sz w:val="24"/>
          <w:szCs w:val="24"/>
        </w:rPr>
        <w:t xml:space="preserve"> организации мероприятий по предупреждению и ликвидации 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>разливов нефти и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нефтепродуктов на территории Российской Федерации</w:t>
      </w:r>
      <w:r w:rsidR="0053487B" w:rsidRPr="00F22BFA">
        <w:rPr>
          <w:rFonts w:ascii="Times New Roman" w:eastAsia="Times New Roman" w:hAnsi="Times New Roman" w:cs="Times New Roman"/>
          <w:sz w:val="24"/>
          <w:szCs w:val="24"/>
        </w:rPr>
        <w:t>, за исключением внутренних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3487B" w:rsidRPr="00F22BFA">
        <w:rPr>
          <w:rFonts w:ascii="Times New Roman" w:eastAsia="Times New Roman" w:hAnsi="Times New Roman" w:cs="Times New Roman"/>
          <w:sz w:val="24"/>
          <w:szCs w:val="24"/>
        </w:rPr>
        <w:t xml:space="preserve"> морских вод РФ и территориального моря РФ, а также о признании утратившим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3487B" w:rsidRPr="00F22BFA">
        <w:rPr>
          <w:rFonts w:ascii="Times New Roman" w:eastAsia="Times New Roman" w:hAnsi="Times New Roman" w:cs="Times New Roman"/>
          <w:sz w:val="24"/>
          <w:szCs w:val="24"/>
        </w:rPr>
        <w:t xml:space="preserve"> силу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 некоторых актов Правительства РФ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52083" w:rsidRPr="00F22BFA" w:rsidRDefault="00C52083" w:rsidP="0069156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BFA">
        <w:rPr>
          <w:rFonts w:ascii="Times New Roman" w:eastAsia="Times New Roman" w:hAnsi="Times New Roman" w:cs="Times New Roman"/>
          <w:sz w:val="24"/>
          <w:szCs w:val="24"/>
        </w:rPr>
        <w:t>- Федеральный закон от 13.07.2020г. №207-ФЗ «О внесении изменений в статью 46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«Об охране окружающей среды</w:t>
      </w:r>
      <w:r w:rsidR="00DA074F" w:rsidRPr="00F22BFA">
        <w:rPr>
          <w:rFonts w:ascii="Times New Roman" w:eastAsia="Times New Roman" w:hAnsi="Times New Roman" w:cs="Times New Roman"/>
          <w:sz w:val="24"/>
          <w:szCs w:val="24"/>
        </w:rPr>
        <w:t>» и отдельные законодательные акты Российской Федерации»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2083" w:rsidRPr="00F22BFA" w:rsidRDefault="0069156F" w:rsidP="0069156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BFA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C52083" w:rsidRPr="00F22BFA">
        <w:rPr>
          <w:rFonts w:ascii="Times New Roman" w:eastAsia="Times New Roman" w:hAnsi="Times New Roman" w:cs="Times New Roman"/>
          <w:b/>
          <w:sz w:val="24"/>
          <w:szCs w:val="24"/>
        </w:rPr>
        <w:t>Конфиденциальность информации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>. Разрабатываемы</w:t>
      </w:r>
      <w:r w:rsidR="00713A7E" w:rsidRPr="00F22BFA">
        <w:rPr>
          <w:rFonts w:ascii="Times New Roman" w:eastAsia="Times New Roman" w:hAnsi="Times New Roman" w:cs="Times New Roman"/>
          <w:sz w:val="24"/>
          <w:szCs w:val="24"/>
        </w:rPr>
        <w:t>й План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 xml:space="preserve"> ЛНР содерж</w:t>
      </w:r>
      <w:r w:rsidR="00F2032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="00713A7E" w:rsidRPr="00F22BFA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>конфиденциальные сведения, которые не подлежат разглашению и распространению в иной форме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2083" w:rsidRPr="00F22BFA" w:rsidRDefault="0069156F" w:rsidP="0069156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BFA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713A7E" w:rsidRPr="00F22BF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F22BFA">
        <w:rPr>
          <w:rFonts w:ascii="Times New Roman" w:eastAsia="Times New Roman" w:hAnsi="Times New Roman" w:cs="Times New Roman"/>
          <w:b/>
          <w:sz w:val="24"/>
          <w:szCs w:val="24"/>
        </w:rPr>
        <w:t>Требования к работе</w:t>
      </w:r>
      <w:r w:rsidRPr="00F22BF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>План ЛРН должен быть разработан с учётом исходных данных, представленных ПАО «НЕФАЗ».</w:t>
      </w:r>
      <w:r w:rsidR="00C52083" w:rsidRPr="00F22BFA">
        <w:t xml:space="preserve"> 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 xml:space="preserve">Информация предоставляется ПАО «НЕФАЗ» на основании письменного запроса </w:t>
      </w:r>
      <w:proofErr w:type="gramStart"/>
      <w:r w:rsidR="00874421" w:rsidRPr="00F22BFA">
        <w:rPr>
          <w:rFonts w:ascii="Times New Roman" w:eastAsia="Times New Roman" w:hAnsi="Times New Roman" w:cs="Times New Roman"/>
          <w:sz w:val="24"/>
          <w:szCs w:val="24"/>
        </w:rPr>
        <w:t xml:space="preserve">Исполнителя 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="00874421" w:rsidRPr="00F22B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083" w:rsidRPr="00F22BFA">
        <w:rPr>
          <w:rFonts w:ascii="Times New Roman" w:eastAsia="Times New Roman" w:hAnsi="Times New Roman" w:cs="Times New Roman"/>
          <w:sz w:val="24"/>
          <w:szCs w:val="24"/>
        </w:rPr>
        <w:t>оформлением двухстороннего акта приема-передачи документации.</w:t>
      </w:r>
    </w:p>
    <w:p w:rsidR="00F2032C" w:rsidRDefault="0069156F" w:rsidP="00B72375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B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7. </w:t>
      </w:r>
      <w:r w:rsidR="00713A7E" w:rsidRPr="00F22BF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2032C">
        <w:rPr>
          <w:rFonts w:ascii="Times New Roman" w:eastAsia="Times New Roman" w:hAnsi="Times New Roman" w:cs="Times New Roman"/>
          <w:b/>
          <w:sz w:val="24"/>
          <w:szCs w:val="24"/>
        </w:rPr>
        <w:t>Требования к участникам</w:t>
      </w:r>
      <w:r w:rsidRPr="00617AC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E769A5" w:rsidRPr="00617A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 xml:space="preserve">наличие у </w:t>
      </w:r>
      <w:proofErr w:type="gramStart"/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>Участника  опыта</w:t>
      </w:r>
      <w:proofErr w:type="gramEnd"/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 xml:space="preserve">  выполнения аналогичных работ, соответствующих профилю лота. В составе своей заявки Участник должен </w:t>
      </w:r>
      <w:r w:rsidR="00617AC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информацию о ранее выполненных договорах по форме «Справка об опыте Участника», приведенной в </w:t>
      </w:r>
      <w:proofErr w:type="gramStart"/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>таблице  №</w:t>
      </w:r>
      <w:proofErr w:type="gramEnd"/>
      <w:r w:rsidR="00F2032C" w:rsidRPr="00617AC1">
        <w:rPr>
          <w:rFonts w:ascii="Times New Roman" w:eastAsia="Times New Roman" w:hAnsi="Times New Roman" w:cs="Times New Roman"/>
          <w:sz w:val="24"/>
          <w:szCs w:val="24"/>
        </w:rPr>
        <w:t xml:space="preserve"> 1. Сведения, не позволяющие явно/однозначно определить наличие требуемого опыта у Участника, не учитываются.</w:t>
      </w:r>
    </w:p>
    <w:p w:rsidR="00B72375" w:rsidRDefault="00B72375" w:rsidP="00B72375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32C" w:rsidRPr="00F2032C" w:rsidRDefault="00F2032C">
      <w:pPr>
        <w:rPr>
          <w:rFonts w:ascii="Times New Roman" w:eastAsia="Times New Roman" w:hAnsi="Times New Roman" w:cs="Times New Roman"/>
          <w:sz w:val="24"/>
          <w:szCs w:val="24"/>
        </w:rPr>
      </w:pPr>
      <w:r w:rsidRPr="00F2032C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96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48"/>
        <w:gridCol w:w="1673"/>
        <w:gridCol w:w="1417"/>
        <w:gridCol w:w="982"/>
        <w:gridCol w:w="1973"/>
        <w:gridCol w:w="1287"/>
      </w:tblGrid>
      <w:tr w:rsidR="00F2032C" w:rsidRPr="00C55B01" w:rsidTr="00F2032C">
        <w:tc>
          <w:tcPr>
            <w:tcW w:w="720" w:type="dxa"/>
            <w:vAlign w:val="center"/>
          </w:tcPr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Pr="00FC0CA5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FC0CA5">
              <w:rPr>
                <w:sz w:val="20"/>
              </w:rPr>
              <w:t>№ п/п</w:t>
            </w:r>
          </w:p>
        </w:tc>
        <w:tc>
          <w:tcPr>
            <w:tcW w:w="1548" w:type="dxa"/>
            <w:vAlign w:val="center"/>
          </w:tcPr>
          <w:p w:rsidR="00F2032C" w:rsidRPr="00C55B01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673" w:type="dxa"/>
            <w:vAlign w:val="center"/>
          </w:tcPr>
          <w:p w:rsidR="00F2032C" w:rsidRPr="00C55B01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Заказчик </w:t>
            </w:r>
            <w:r w:rsidRPr="00C55B01">
              <w:rPr>
                <w:sz w:val="20"/>
              </w:rPr>
              <w:br/>
              <w:t xml:space="preserve">(наименование, </w:t>
            </w:r>
            <w:r>
              <w:rPr>
                <w:sz w:val="20"/>
              </w:rPr>
              <w:t>ИНН</w:t>
            </w:r>
            <w:r w:rsidRPr="00273522">
              <w:rPr>
                <w:sz w:val="20"/>
              </w:rPr>
              <w:t>, контактное лицо и контактный телефон</w:t>
            </w:r>
            <w:r w:rsidRPr="00C55B01">
              <w:rPr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Срок начала </w:t>
            </w:r>
            <w:r>
              <w:rPr>
                <w:sz w:val="20"/>
              </w:rPr>
              <w:t>выполнения работ</w:t>
            </w:r>
          </w:p>
        </w:tc>
        <w:tc>
          <w:tcPr>
            <w:tcW w:w="982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Срок завершения </w:t>
            </w:r>
            <w:r>
              <w:rPr>
                <w:sz w:val="20"/>
              </w:rPr>
              <w:t>работ</w:t>
            </w:r>
          </w:p>
        </w:tc>
        <w:tc>
          <w:tcPr>
            <w:tcW w:w="1973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Описание позиций договора, подтверждающих </w:t>
            </w:r>
            <w:r>
              <w:rPr>
                <w:sz w:val="20"/>
              </w:rPr>
              <w:t>требуемый опыт (объем и состав</w:t>
            </w:r>
            <w:r w:rsidRPr="00C55B01">
              <w:rPr>
                <w:sz w:val="20"/>
              </w:rPr>
              <w:t>, явно указывающей на соответствие опыта Участника требованиям к опыту)</w:t>
            </w:r>
          </w:p>
        </w:tc>
        <w:tc>
          <w:tcPr>
            <w:tcW w:w="1287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Сумма по договору, </w:t>
            </w:r>
            <w:r>
              <w:rPr>
                <w:sz w:val="20"/>
              </w:rPr>
              <w:t>подтверждающему требуемый опыт</w:t>
            </w:r>
          </w:p>
        </w:tc>
      </w:tr>
      <w:tr w:rsidR="00F2032C" w:rsidRPr="00C55B01" w:rsidTr="00F2032C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1548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6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41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982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28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F2032C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1548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6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41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982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28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F2032C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1548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6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41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982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28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F2032C">
        <w:tc>
          <w:tcPr>
            <w:tcW w:w="720" w:type="dxa"/>
          </w:tcPr>
          <w:p w:rsidR="00F2032C" w:rsidRPr="00C55B01" w:rsidRDefault="00F2032C" w:rsidP="00904F6F">
            <w:pPr>
              <w:widowControl w:val="0"/>
              <w:rPr>
                <w:sz w:val="20"/>
              </w:rPr>
            </w:pPr>
            <w:r w:rsidRPr="00C55B01">
              <w:rPr>
                <w:sz w:val="20"/>
              </w:rPr>
              <w:t>…</w:t>
            </w:r>
          </w:p>
        </w:tc>
        <w:tc>
          <w:tcPr>
            <w:tcW w:w="1548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6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41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982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7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28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</w:tbl>
    <w:p w:rsidR="00BE159E" w:rsidRPr="00B24759" w:rsidRDefault="00BE159E" w:rsidP="0069156F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B4523" w:rsidRDefault="00F71986" w:rsidP="0069156F">
      <w:pPr>
        <w:pStyle w:val="a7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759">
        <w:rPr>
          <w:rFonts w:ascii="Times New Roman" w:hAnsi="Times New Roman" w:cs="Times New Roman"/>
          <w:b/>
          <w:sz w:val="24"/>
          <w:szCs w:val="24"/>
        </w:rPr>
        <w:t>Контактн</w:t>
      </w:r>
      <w:r w:rsidR="00170526" w:rsidRPr="00B24759">
        <w:rPr>
          <w:rFonts w:ascii="Times New Roman" w:hAnsi="Times New Roman" w:cs="Times New Roman"/>
          <w:b/>
          <w:sz w:val="24"/>
          <w:szCs w:val="24"/>
        </w:rPr>
        <w:t>ое</w:t>
      </w:r>
      <w:r w:rsidRPr="00B24759">
        <w:rPr>
          <w:rFonts w:ascii="Times New Roman" w:hAnsi="Times New Roman" w:cs="Times New Roman"/>
          <w:b/>
          <w:sz w:val="24"/>
          <w:szCs w:val="24"/>
        </w:rPr>
        <w:t xml:space="preserve"> лиц</w:t>
      </w:r>
      <w:r w:rsidR="00170526" w:rsidRPr="00B24759">
        <w:rPr>
          <w:rFonts w:ascii="Times New Roman" w:hAnsi="Times New Roman" w:cs="Times New Roman"/>
          <w:b/>
          <w:sz w:val="24"/>
          <w:szCs w:val="24"/>
        </w:rPr>
        <w:t>о</w:t>
      </w:r>
      <w:r w:rsidRPr="00B24759">
        <w:rPr>
          <w:rFonts w:ascii="Times New Roman" w:hAnsi="Times New Roman" w:cs="Times New Roman"/>
          <w:b/>
          <w:sz w:val="24"/>
          <w:szCs w:val="24"/>
        </w:rPr>
        <w:t>:</w:t>
      </w:r>
    </w:p>
    <w:p w:rsidR="00F71986" w:rsidRPr="003B4523" w:rsidRDefault="003B4523" w:rsidP="0069156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B86B59" w:rsidRPr="003B4523">
        <w:rPr>
          <w:rFonts w:ascii="Times New Roman" w:hAnsi="Times New Roman" w:cs="Times New Roman"/>
          <w:sz w:val="24"/>
          <w:szCs w:val="24"/>
          <w:u w:val="single"/>
        </w:rPr>
        <w:t xml:space="preserve">ачальник </w:t>
      </w:r>
      <w:r w:rsidR="00072E01" w:rsidRPr="003B4523">
        <w:rPr>
          <w:rFonts w:ascii="Times New Roman" w:hAnsi="Times New Roman" w:cs="Times New Roman"/>
          <w:sz w:val="24"/>
          <w:szCs w:val="24"/>
          <w:u w:val="single"/>
        </w:rPr>
        <w:t>ОМП ГОиЧС   Зиалтдинов</w:t>
      </w:r>
      <w:r w:rsidR="00B24759" w:rsidRPr="003B4523">
        <w:rPr>
          <w:rFonts w:ascii="Times New Roman" w:hAnsi="Times New Roman" w:cs="Times New Roman"/>
          <w:sz w:val="24"/>
          <w:szCs w:val="24"/>
          <w:u w:val="single"/>
        </w:rPr>
        <w:t xml:space="preserve"> Э.Р.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F71986" w:rsidRPr="003B4523">
        <w:rPr>
          <w:rFonts w:ascii="Times New Roman" w:hAnsi="Times New Roman" w:cs="Times New Roman"/>
          <w:sz w:val="24"/>
          <w:szCs w:val="24"/>
          <w:u w:val="single"/>
        </w:rPr>
        <w:t xml:space="preserve">тел. </w:t>
      </w:r>
      <w:r w:rsidR="00BE1E33" w:rsidRPr="003B4523">
        <w:rPr>
          <w:rFonts w:ascii="Times New Roman" w:hAnsi="Times New Roman" w:cs="Times New Roman"/>
          <w:sz w:val="24"/>
          <w:szCs w:val="24"/>
          <w:u w:val="single"/>
        </w:rPr>
        <w:t xml:space="preserve">(34783) 6- </w:t>
      </w:r>
      <w:r w:rsidR="00072E01" w:rsidRPr="003B4523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27554" w:rsidRPr="003B4523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F71986" w:rsidRPr="003B4523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072E01" w:rsidRPr="003B4523">
        <w:rPr>
          <w:rFonts w:ascii="Times New Roman" w:hAnsi="Times New Roman" w:cs="Times New Roman"/>
          <w:sz w:val="24"/>
          <w:szCs w:val="24"/>
          <w:u w:val="single"/>
        </w:rPr>
        <w:t>52</w:t>
      </w:r>
      <w:r w:rsidR="00F71986" w:rsidRPr="003B45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75E4A" w:rsidRPr="00B24759" w:rsidRDefault="00075E4A" w:rsidP="0069156F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0472" w:rsidRPr="00B24759" w:rsidRDefault="002B0472" w:rsidP="0069156F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EE5" w:rsidRPr="00B24759" w:rsidRDefault="00262EE5" w:rsidP="0069156F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EE5" w:rsidRPr="00B24759" w:rsidRDefault="00262EE5" w:rsidP="0069156F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D4BFF" w:rsidRPr="00B24759" w:rsidRDefault="002D4BFF" w:rsidP="0069156F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4759">
        <w:rPr>
          <w:rFonts w:ascii="Times New Roman" w:hAnsi="Times New Roman" w:cs="Times New Roman"/>
          <w:sz w:val="24"/>
          <w:szCs w:val="24"/>
        </w:rPr>
        <w:t>Н</w:t>
      </w:r>
      <w:r w:rsidR="00427B09" w:rsidRPr="00B24759">
        <w:rPr>
          <w:rFonts w:ascii="Times New Roman" w:hAnsi="Times New Roman" w:cs="Times New Roman"/>
          <w:sz w:val="24"/>
          <w:szCs w:val="24"/>
        </w:rPr>
        <w:t>ачальник</w:t>
      </w:r>
      <w:r w:rsidRPr="00B24759">
        <w:rPr>
          <w:rFonts w:ascii="Times New Roman" w:hAnsi="Times New Roman" w:cs="Times New Roman"/>
          <w:sz w:val="24"/>
          <w:szCs w:val="24"/>
        </w:rPr>
        <w:t xml:space="preserve"> отдела мобилизационной подготовки,</w:t>
      </w:r>
    </w:p>
    <w:p w:rsidR="00496A37" w:rsidRPr="00F2032C" w:rsidRDefault="002D4BFF" w:rsidP="00713A7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759">
        <w:rPr>
          <w:rFonts w:ascii="Times New Roman" w:hAnsi="Times New Roman" w:cs="Times New Roman"/>
          <w:sz w:val="24"/>
          <w:szCs w:val="24"/>
        </w:rPr>
        <w:t>гражданской обороны и чрезвычайных ситуаций</w:t>
      </w:r>
      <w:r w:rsidR="00427B09" w:rsidRPr="00B247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5E69" w:rsidRPr="00B2475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24759">
        <w:rPr>
          <w:rFonts w:ascii="Times New Roman" w:hAnsi="Times New Roman" w:cs="Times New Roman"/>
          <w:sz w:val="24"/>
          <w:szCs w:val="24"/>
        </w:rPr>
        <w:t xml:space="preserve">      </w:t>
      </w:r>
      <w:r w:rsidR="00765E69" w:rsidRPr="00B24759">
        <w:rPr>
          <w:rFonts w:ascii="Times New Roman" w:hAnsi="Times New Roman" w:cs="Times New Roman"/>
          <w:sz w:val="24"/>
          <w:szCs w:val="24"/>
        </w:rPr>
        <w:t xml:space="preserve"> </w:t>
      </w:r>
      <w:r w:rsidR="00427B09" w:rsidRPr="00B2475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24759">
        <w:rPr>
          <w:rFonts w:ascii="Times New Roman" w:hAnsi="Times New Roman" w:cs="Times New Roman"/>
          <w:sz w:val="24"/>
          <w:szCs w:val="24"/>
        </w:rPr>
        <w:t>Э</w:t>
      </w:r>
      <w:r w:rsidR="00B86B59" w:rsidRPr="00B24759">
        <w:rPr>
          <w:rFonts w:ascii="Times New Roman" w:hAnsi="Times New Roman" w:cs="Times New Roman"/>
          <w:sz w:val="24"/>
          <w:szCs w:val="24"/>
        </w:rPr>
        <w:t>.</w:t>
      </w:r>
      <w:r w:rsidRPr="00B24759">
        <w:rPr>
          <w:rFonts w:ascii="Times New Roman" w:hAnsi="Times New Roman" w:cs="Times New Roman"/>
          <w:sz w:val="24"/>
          <w:szCs w:val="24"/>
        </w:rPr>
        <w:t>Р</w:t>
      </w:r>
      <w:r w:rsidR="00B86B59" w:rsidRPr="00B24759">
        <w:rPr>
          <w:rFonts w:ascii="Times New Roman" w:hAnsi="Times New Roman" w:cs="Times New Roman"/>
          <w:sz w:val="24"/>
          <w:szCs w:val="24"/>
        </w:rPr>
        <w:t xml:space="preserve">. </w:t>
      </w:r>
      <w:r w:rsidRPr="00B24759">
        <w:rPr>
          <w:rFonts w:ascii="Times New Roman" w:hAnsi="Times New Roman" w:cs="Times New Roman"/>
          <w:sz w:val="24"/>
          <w:szCs w:val="24"/>
        </w:rPr>
        <w:t>Зиалтдинов</w:t>
      </w:r>
    </w:p>
    <w:sectPr w:rsidR="00496A37" w:rsidRPr="00F2032C" w:rsidSect="00691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E0" w:rsidRDefault="000B00E0" w:rsidP="00075E4A">
      <w:pPr>
        <w:spacing w:after="0" w:line="240" w:lineRule="auto"/>
      </w:pPr>
      <w:r>
        <w:separator/>
      </w:r>
    </w:p>
  </w:endnote>
  <w:endnote w:type="continuationSeparator" w:id="0">
    <w:p w:rsidR="000B00E0" w:rsidRDefault="000B00E0" w:rsidP="0007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E0" w:rsidRDefault="000B00E0" w:rsidP="00075E4A">
      <w:pPr>
        <w:spacing w:after="0" w:line="240" w:lineRule="auto"/>
      </w:pPr>
      <w:r>
        <w:separator/>
      </w:r>
    </w:p>
  </w:footnote>
  <w:footnote w:type="continuationSeparator" w:id="0">
    <w:p w:rsidR="000B00E0" w:rsidRDefault="000B00E0" w:rsidP="0007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 w:rsidP="00075E4A">
    <w:pPr>
      <w:pStyle w:val="aa"/>
      <w:tabs>
        <w:tab w:val="clear" w:pos="4677"/>
        <w:tab w:val="clear" w:pos="9355"/>
        <w:tab w:val="left" w:pos="133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0C8"/>
    <w:multiLevelType w:val="hybridMultilevel"/>
    <w:tmpl w:val="7A22E1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56E"/>
    <w:multiLevelType w:val="hybridMultilevel"/>
    <w:tmpl w:val="0286255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90439F"/>
    <w:multiLevelType w:val="multilevel"/>
    <w:tmpl w:val="04EA01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EC"/>
    <w:rsid w:val="000033D3"/>
    <w:rsid w:val="00045E8B"/>
    <w:rsid w:val="00046690"/>
    <w:rsid w:val="0006798A"/>
    <w:rsid w:val="00071398"/>
    <w:rsid w:val="00072E01"/>
    <w:rsid w:val="00075E4A"/>
    <w:rsid w:val="000B00E0"/>
    <w:rsid w:val="000E45EE"/>
    <w:rsid w:val="000F7040"/>
    <w:rsid w:val="000F78FF"/>
    <w:rsid w:val="00124D75"/>
    <w:rsid w:val="0016199D"/>
    <w:rsid w:val="00170526"/>
    <w:rsid w:val="001829BC"/>
    <w:rsid w:val="001B26D8"/>
    <w:rsid w:val="00200C60"/>
    <w:rsid w:val="00213172"/>
    <w:rsid w:val="0024427C"/>
    <w:rsid w:val="00262EE5"/>
    <w:rsid w:val="002815A9"/>
    <w:rsid w:val="00291432"/>
    <w:rsid w:val="002A2BAA"/>
    <w:rsid w:val="002B0472"/>
    <w:rsid w:val="002B4E31"/>
    <w:rsid w:val="002D4BFF"/>
    <w:rsid w:val="002F4210"/>
    <w:rsid w:val="002F72A3"/>
    <w:rsid w:val="0030263C"/>
    <w:rsid w:val="00311837"/>
    <w:rsid w:val="003176F5"/>
    <w:rsid w:val="00367889"/>
    <w:rsid w:val="003A185B"/>
    <w:rsid w:val="003A2BAE"/>
    <w:rsid w:val="003B4523"/>
    <w:rsid w:val="003D3D41"/>
    <w:rsid w:val="003D5FEC"/>
    <w:rsid w:val="003D6A10"/>
    <w:rsid w:val="003F2598"/>
    <w:rsid w:val="004070BF"/>
    <w:rsid w:val="004234BE"/>
    <w:rsid w:val="00427B09"/>
    <w:rsid w:val="00477F6D"/>
    <w:rsid w:val="00496A37"/>
    <w:rsid w:val="004B16AD"/>
    <w:rsid w:val="004B7EE5"/>
    <w:rsid w:val="004C49D0"/>
    <w:rsid w:val="004D5201"/>
    <w:rsid w:val="004F0E6F"/>
    <w:rsid w:val="00507C6E"/>
    <w:rsid w:val="00514CB8"/>
    <w:rsid w:val="00527554"/>
    <w:rsid w:val="0053487B"/>
    <w:rsid w:val="00541C12"/>
    <w:rsid w:val="005876F2"/>
    <w:rsid w:val="005A0026"/>
    <w:rsid w:val="005A286E"/>
    <w:rsid w:val="005C16A9"/>
    <w:rsid w:val="005F01FF"/>
    <w:rsid w:val="00617AC1"/>
    <w:rsid w:val="0064778E"/>
    <w:rsid w:val="00682F3B"/>
    <w:rsid w:val="0069156F"/>
    <w:rsid w:val="00697690"/>
    <w:rsid w:val="006B0DA3"/>
    <w:rsid w:val="006C34DD"/>
    <w:rsid w:val="00713A7E"/>
    <w:rsid w:val="00765E69"/>
    <w:rsid w:val="007C4513"/>
    <w:rsid w:val="007D2B7A"/>
    <w:rsid w:val="0083346C"/>
    <w:rsid w:val="008409E9"/>
    <w:rsid w:val="00843B9D"/>
    <w:rsid w:val="0085174D"/>
    <w:rsid w:val="0085275A"/>
    <w:rsid w:val="00870CB5"/>
    <w:rsid w:val="00872F7D"/>
    <w:rsid w:val="008731CF"/>
    <w:rsid w:val="00874421"/>
    <w:rsid w:val="008A4A45"/>
    <w:rsid w:val="008A4C4B"/>
    <w:rsid w:val="008B2140"/>
    <w:rsid w:val="00906777"/>
    <w:rsid w:val="00915C38"/>
    <w:rsid w:val="00994493"/>
    <w:rsid w:val="009A6B9E"/>
    <w:rsid w:val="009B0A96"/>
    <w:rsid w:val="009B1700"/>
    <w:rsid w:val="009F0FB6"/>
    <w:rsid w:val="00A1195F"/>
    <w:rsid w:val="00A304F7"/>
    <w:rsid w:val="00A3219E"/>
    <w:rsid w:val="00A70777"/>
    <w:rsid w:val="00A76813"/>
    <w:rsid w:val="00AC4CFE"/>
    <w:rsid w:val="00AC59C5"/>
    <w:rsid w:val="00AD3F8C"/>
    <w:rsid w:val="00AF198C"/>
    <w:rsid w:val="00B226B4"/>
    <w:rsid w:val="00B24759"/>
    <w:rsid w:val="00B25F17"/>
    <w:rsid w:val="00B3055B"/>
    <w:rsid w:val="00B405D7"/>
    <w:rsid w:val="00B72375"/>
    <w:rsid w:val="00B843E5"/>
    <w:rsid w:val="00B86B59"/>
    <w:rsid w:val="00BB6F41"/>
    <w:rsid w:val="00BD184D"/>
    <w:rsid w:val="00BE159E"/>
    <w:rsid w:val="00BE1E33"/>
    <w:rsid w:val="00C307CF"/>
    <w:rsid w:val="00C40C24"/>
    <w:rsid w:val="00C507C9"/>
    <w:rsid w:val="00C52083"/>
    <w:rsid w:val="00C73CC8"/>
    <w:rsid w:val="00C847C8"/>
    <w:rsid w:val="00C84ECE"/>
    <w:rsid w:val="00CA38A1"/>
    <w:rsid w:val="00CB7999"/>
    <w:rsid w:val="00CF5CDE"/>
    <w:rsid w:val="00D0573B"/>
    <w:rsid w:val="00D1578C"/>
    <w:rsid w:val="00D24B5B"/>
    <w:rsid w:val="00D56BDD"/>
    <w:rsid w:val="00D61DE3"/>
    <w:rsid w:val="00DA074F"/>
    <w:rsid w:val="00DA125F"/>
    <w:rsid w:val="00DB5DC8"/>
    <w:rsid w:val="00DD0C36"/>
    <w:rsid w:val="00DD3589"/>
    <w:rsid w:val="00DE224F"/>
    <w:rsid w:val="00E06DAF"/>
    <w:rsid w:val="00E250BE"/>
    <w:rsid w:val="00E44B83"/>
    <w:rsid w:val="00E769A5"/>
    <w:rsid w:val="00E76E96"/>
    <w:rsid w:val="00E911B4"/>
    <w:rsid w:val="00E92069"/>
    <w:rsid w:val="00E934A6"/>
    <w:rsid w:val="00EA596F"/>
    <w:rsid w:val="00EB2306"/>
    <w:rsid w:val="00EE2328"/>
    <w:rsid w:val="00EE74E5"/>
    <w:rsid w:val="00EF2A02"/>
    <w:rsid w:val="00F06618"/>
    <w:rsid w:val="00F2032C"/>
    <w:rsid w:val="00F22BFA"/>
    <w:rsid w:val="00F45092"/>
    <w:rsid w:val="00F5063E"/>
    <w:rsid w:val="00F71986"/>
    <w:rsid w:val="00FB39AA"/>
    <w:rsid w:val="00FB5A59"/>
    <w:rsid w:val="00FC0520"/>
    <w:rsid w:val="00FC6CCE"/>
    <w:rsid w:val="00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B2540"/>
  <w15:docId w15:val="{F6038258-E62C-4289-B3C4-A13F8031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5E4A"/>
  </w:style>
  <w:style w:type="paragraph" w:styleId="ac">
    <w:name w:val="footer"/>
    <w:basedOn w:val="a"/>
    <w:link w:val="ad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5E4A"/>
  </w:style>
  <w:style w:type="paragraph" w:styleId="ae">
    <w:name w:val="No Spacing"/>
    <w:uiPriority w:val="1"/>
    <w:qFormat/>
    <w:rsid w:val="00870C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B605D-6B1A-4622-AC00-2287A615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Admin</cp:lastModifiedBy>
  <cp:revision>10</cp:revision>
  <cp:lastPrinted>2017-09-19T12:16:00Z</cp:lastPrinted>
  <dcterms:created xsi:type="dcterms:W3CDTF">2023-01-30T10:33:00Z</dcterms:created>
  <dcterms:modified xsi:type="dcterms:W3CDTF">2023-02-01T09:53:00Z</dcterms:modified>
</cp:coreProperties>
</file>